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color w:val="3F3F3F"/>
          <w:spacing w:val="12"/>
          <w:sz w:val="19"/>
          <w:szCs w:val="19"/>
          <w:bdr w:val="none" w:color="auto" w:sz="0" w:space="0"/>
        </w:rPr>
        <w:t>3月25日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color w:val="3F3F3F"/>
          <w:spacing w:val="12"/>
          <w:sz w:val="19"/>
          <w:szCs w:val="19"/>
          <w:bdr w:val="none" w:color="auto" w:sz="0" w:space="0"/>
        </w:rPr>
        <w:t>《龙岗区支持市场主体纾困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color w:val="3F3F3F"/>
          <w:spacing w:val="12"/>
          <w:sz w:val="19"/>
          <w:szCs w:val="19"/>
          <w:bdr w:val="none" w:color="auto" w:sz="0" w:space="0"/>
        </w:rPr>
        <w:t>稳定经济增长若干措施》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color w:val="3F3F3F"/>
          <w:spacing w:val="12"/>
          <w:sz w:val="19"/>
          <w:szCs w:val="19"/>
          <w:bdr w:val="none" w:color="auto" w:sz="0" w:space="0"/>
        </w:rPr>
        <w:t>正式对外发布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color w:val="3F3F3F"/>
          <w:spacing w:val="12"/>
          <w:sz w:val="19"/>
          <w:szCs w:val="19"/>
          <w:bdr w:val="none" w:color="auto" w:sz="0" w:space="0"/>
        </w:rPr>
        <w:t>相关操作指南同时出炉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color w:val="3F3F3F"/>
          <w:spacing w:val="12"/>
          <w:sz w:val="19"/>
          <w:szCs w:val="19"/>
          <w:bdr w:val="none" w:color="auto" w:sz="0" w:space="0"/>
        </w:rPr>
        <w:t>赶紧了解一下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Style w:val="7"/>
          <w:color w:val="3F3F3F"/>
          <w:spacing w:val="12"/>
          <w:sz w:val="21"/>
          <w:szCs w:val="21"/>
          <w:bdr w:val="none" w:color="auto" w:sz="0" w:space="0"/>
        </w:rPr>
        <w:t>《龙岗区支持市场主体纾困稳定经济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Style w:val="7"/>
          <w:color w:val="3F3F3F"/>
          <w:spacing w:val="12"/>
          <w:sz w:val="21"/>
          <w:szCs w:val="21"/>
          <w:bdr w:val="none" w:color="auto" w:sz="0" w:space="0"/>
        </w:rPr>
        <w:t>增长若干措施》操作指南 </w:t>
      </w:r>
    </w:p>
    <w:p>
      <w:pPr>
        <w:keepNext w:val="0"/>
        <w:keepLines w:val="0"/>
        <w:widowControl/>
        <w:suppressLineNumbers w:val="0"/>
        <w:jc w:val="left"/>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052695" cy="1440815"/>
            <wp:effectExtent l="0" t="0" r="6985"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052695" cy="1440815"/>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ascii="Helvetica" w:hAnsi="Helvetica" w:eastAsia="Helvetica" w:cs="Helvetica"/>
          <w:color w:val="3F3F3F"/>
          <w:spacing w:val="24"/>
          <w:sz w:val="19"/>
          <w:szCs w:val="19"/>
          <w:bdr w:val="none" w:color="auto" w:sz="0" w:space="0"/>
        </w:rPr>
        <w:t>政策内容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承租辖区内区属国有全资及国有控股企业、行政事业单位权属房屋的制造业小微企业、服务业小微企业和个体工商户免除3个月租金、再减半收取3个月租金，其他企业免除1个月租金。</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责任单位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龙岗区国资局、区财政局、各经营性政府物业管理单位、区投控集团、区城投集团、区产服集团、区金控公司、区融媒集团</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适用对象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承租辖区内区属国有全资及国有控股企业、行政事业单位权属房屋的各类企业和个体工商户。</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申报期限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制造业小微企业、服务业小微企业自本指南发布之日起至2022年8月31日止，未在此期间内申报的，视为放弃，逾期不再受理。其他企业、个体工商户免申请即享。</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执行标准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承租辖区内区属国有全资及国有控股企业、行政事业单位权属房屋的制造业小微企业、服务业小微企业和个体工商户原则上免除2022年3月至5月租金（累计3个月）、再减半收取2022年6月至8月租金（累计3个月），其他企业原则上免除2022年3月份租金。</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申请流程及材料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（一）制造业小微企业、服务业小微企业</w:t>
      </w:r>
      <w:r>
        <w:rPr>
          <w:rStyle w:val="7"/>
          <w:rFonts w:hint="default" w:ascii="Helvetica" w:hAnsi="Helvetica" w:eastAsia="Helvetica" w:cs="Helvetica"/>
          <w:color w:val="FF0000"/>
          <w:spacing w:val="24"/>
          <w:sz w:val="19"/>
          <w:szCs w:val="19"/>
          <w:bdr w:val="none" w:color="auto" w:sz="0" w:space="0"/>
        </w:rPr>
        <w:t>（申请即享）</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根据《统计上大中小微型企业划分办法（2017）》（国统字〔2017〕213号）《金融业企业划型标准规定》（银发〔2015〕309号）等进行审核认定。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提供以下申请材料（加盖企业公章）：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default" w:ascii="Helvetica" w:hAnsi="Helvetica" w:eastAsia="Helvetica" w:cs="Helvetica"/>
          <w:color w:val="3F3F3F"/>
          <w:spacing w:val="24"/>
          <w:sz w:val="19"/>
          <w:szCs w:val="19"/>
          <w:bdr w:val="none" w:color="auto" w:sz="0" w:space="0"/>
        </w:rPr>
        <w:t>1.小微企业减免租金申请表（登陆区国资局官网下载：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default" w:ascii="Helvetica" w:hAnsi="Helvetica" w:eastAsia="Helvetica" w:cs="Helvetica"/>
          <w:color w:val="FF0000"/>
          <w:spacing w:val="24"/>
          <w:sz w:val="19"/>
          <w:szCs w:val="19"/>
          <w:bdr w:val="none" w:color="auto" w:sz="0" w:space="0"/>
        </w:rPr>
        <w:t>http://www.lg.gov.cn/bmzz/gzj/index.html</w:t>
      </w:r>
      <w:r>
        <w:rPr>
          <w:rFonts w:hint="default" w:ascii="Helvetica" w:hAnsi="Helvetica" w:eastAsia="Helvetica" w:cs="Helvetica"/>
          <w:color w:val="3F3F3F"/>
          <w:spacing w:val="24"/>
          <w:sz w:val="19"/>
          <w:szCs w:val="19"/>
          <w:bdr w:val="none" w:color="auto" w:sz="0" w:space="0"/>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2.单位营业执照复印件；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3.企业单位社会保险费申报表复印件；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4.2021年度利润表（合并报表）；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5.2021年度资产负债表（合并报表）。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（二）其他企业及个体工商户</w:t>
      </w:r>
      <w:r>
        <w:rPr>
          <w:rStyle w:val="7"/>
          <w:rFonts w:hint="default" w:ascii="Helvetica" w:hAnsi="Helvetica" w:eastAsia="Helvetica" w:cs="Helvetica"/>
          <w:color w:val="FF0000"/>
          <w:spacing w:val="24"/>
          <w:sz w:val="19"/>
          <w:szCs w:val="19"/>
          <w:bdr w:val="none" w:color="auto" w:sz="0" w:space="0"/>
        </w:rPr>
        <w:t>（免申即享）</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无须提供申请材料。</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07</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spacing w:val="24"/>
          <w:sz w:val="19"/>
          <w:szCs w:val="19"/>
          <w:bdr w:val="none" w:color="auto" w:sz="0" w:space="0"/>
        </w:rPr>
        <w:t>区国资局：0755-84873923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spacing w:val="24"/>
          <w:sz w:val="19"/>
          <w:szCs w:val="19"/>
          <w:bdr w:val="none" w:color="auto" w:sz="0" w:space="0"/>
        </w:rPr>
        <w:t>区财政局：0755-28512123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spacing w:val="24"/>
          <w:sz w:val="19"/>
          <w:szCs w:val="19"/>
          <w:bdr w:val="none" w:color="auto" w:sz="0" w:space="0"/>
        </w:rPr>
        <w:t>区属国企：共35家，具体名单及联系人登陆区国资局官网查询：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FF0000"/>
          <w:spacing w:val="24"/>
          <w:sz w:val="19"/>
          <w:szCs w:val="19"/>
          <w:bdr w:val="none" w:color="auto" w:sz="0" w:space="0"/>
        </w:rPr>
      </w:pPr>
      <w:r>
        <w:rPr>
          <w:rFonts w:hint="default" w:ascii="Helvetica" w:hAnsi="Helvetica" w:eastAsia="Helvetica" w:cs="Helvetica"/>
          <w:color w:val="FF0000"/>
          <w:spacing w:val="24"/>
          <w:sz w:val="19"/>
          <w:szCs w:val="19"/>
          <w:bdr w:val="none" w:color="auto" w:sz="0" w:space="0"/>
        </w:rPr>
        <w:t>（http://www.lg.gov.cn/bmzz/gzj/index.html）</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FF0000"/>
          <w:spacing w:val="24"/>
          <w:sz w:val="19"/>
          <w:szCs w:val="19"/>
          <w:bdr w:val="none" w:color="auto" w:sz="0" w:space="0"/>
        </w:rPr>
      </w:pPr>
    </w:p>
    <w:p>
      <w:pPr>
        <w:keepNext w:val="0"/>
        <w:keepLines w:val="0"/>
        <w:widowControl/>
        <w:suppressLineNumbers w:val="0"/>
        <w:jc w:val="left"/>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311140" cy="1514475"/>
            <wp:effectExtent l="0" t="0" r="7620" b="9525"/>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7"/>
                    <a:stretch>
                      <a:fillRect/>
                    </a:stretch>
                  </pic:blipFill>
                  <pic:spPr>
                    <a:xfrm>
                      <a:off x="0" y="0"/>
                      <a:ext cx="5311140" cy="1514475"/>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政策内容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鼓励非国有物业业主（包括社区股份合作公司、个人业主等）或者物业运营机构，对自2022年1月1日至2022年6月30日期间承租其在辖区封控区和管控区（含参照管控区管理的区域）范围内物业的企业或个体工商户给予租金减免，对上述业主或物业运营机构按实际减免租金额的50%给予补贴，补贴时段累计不超过1个月，单个业主或物业运营机构补贴最高100万元。</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责任单位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龙岗区工业和信息化局</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申报期限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自本指南发布起至2022年7月31日，未在此时间内提交申请材料的，视为放弃，逾期不再受理。</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适用对象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适用于龙岗区2022年1月1日至2022年6月30日期间被纳入封控区和管控区（含参照管控区管理的区域）内的非国有业主（包括社区股份</w:t>
      </w:r>
      <w:r>
        <w:rPr>
          <w:rFonts w:hint="default" w:ascii="Helvetica" w:hAnsi="Helvetica" w:eastAsia="Helvetica" w:cs="Helvetica"/>
          <w:color w:val="3F3F3F"/>
          <w:spacing w:val="24"/>
          <w:sz w:val="19"/>
          <w:szCs w:val="19"/>
          <w:bdr w:val="none" w:color="auto" w:sz="0" w:space="0"/>
          <w:shd w:val="clear" w:fill="FFFFFF"/>
        </w:rPr>
        <w:t>合作</w:t>
      </w:r>
      <w:r>
        <w:rPr>
          <w:rFonts w:hint="default" w:ascii="Helvetica" w:hAnsi="Helvetica" w:eastAsia="Helvetica" w:cs="Helvetica"/>
          <w:color w:val="3F3F3F"/>
          <w:spacing w:val="24"/>
          <w:sz w:val="19"/>
          <w:szCs w:val="19"/>
          <w:bdr w:val="none" w:color="auto" w:sz="0" w:space="0"/>
        </w:rPr>
        <w:t>公司、个人业主）或者物业运营机构。</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执行标准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按实际减免租金额的50%给予补贴，累计补贴时段不超过1个月，单个业主或物业运营机构补贴最高100万元。</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申请流程及材料</w:t>
      </w:r>
      <w:r>
        <w:rPr>
          <w:rStyle w:val="7"/>
          <w:rFonts w:hint="default" w:ascii="Helvetica" w:hAnsi="Helvetica" w:eastAsia="Helvetica" w:cs="Helvetica"/>
          <w:color w:val="F04941"/>
          <w:spacing w:val="24"/>
          <w:sz w:val="19"/>
          <w:szCs w:val="19"/>
          <w:bdr w:val="none" w:color="auto" w:sz="0" w:space="0"/>
        </w:rPr>
        <w:t>（受理方式：申请享受）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Helvetica" w:hAnsi="Helvetica" w:eastAsia="Helvetica" w:cs="Helvetica"/>
          <w:color w:val="3F3F3F"/>
          <w:spacing w:val="24"/>
          <w:sz w:val="19"/>
          <w:szCs w:val="19"/>
          <w:bdr w:val="none" w:color="auto" w:sz="0" w:space="0"/>
        </w:rPr>
        <w:t>需提交的材料：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（1）业主和企业或个体工商户的租赁合同或协议；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（2）减免租金惠及的企业或个体工商户营业执照；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（3）2022年1月一6月收取租金凭证和承租企业及个体工商户的缴费收据；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（4）减免租金一览表和企业及个体工商户确认签名；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（5）所在街道办确认减免租金一览表内容；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（6）物业减免租金的公告或通知。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操作流程：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物业业主（运营机构）申请（申请表和资料见申报指南）——区工业和信息化局委托第三方会计师事务所核实申报资料——区工业和信息化局委托第三方会计师事务所实地核实企业和商户存在——区工业和信息化局依据会计师事务所出具的审计意见核算补贴金额——提请局党组会审定——资金拨付。</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07</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spacing w:val="24"/>
          <w:sz w:val="19"/>
          <w:szCs w:val="19"/>
          <w:bdr w:val="none" w:color="auto" w:sz="0" w:space="0"/>
        </w:rPr>
        <w:t>单位：区工业和信息化局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spacing w:val="24"/>
          <w:sz w:val="19"/>
          <w:szCs w:val="19"/>
          <w:bdr w:val="none" w:color="auto" w:sz="0" w:space="0"/>
        </w:rPr>
        <w:t>电话：0755-28949031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spacing w:val="24"/>
          <w:sz w:val="19"/>
          <w:szCs w:val="19"/>
          <w:bdr w:val="none" w:color="auto" w:sz="0" w:space="0"/>
        </w:rPr>
        <w:t>邮箱：</w:t>
      </w:r>
      <w:r>
        <w:rPr>
          <w:rFonts w:hint="default" w:ascii="Helvetica" w:hAnsi="Helvetica" w:eastAsia="Helvetica" w:cs="Helvetica"/>
          <w:color w:val="D82821"/>
          <w:spacing w:val="24"/>
          <w:sz w:val="19"/>
          <w:szCs w:val="19"/>
          <w:bdr w:val="none" w:color="auto" w:sz="0" w:space="0"/>
        </w:rPr>
        <w:t>lgcykjbzk@lg.gov.cn</w:t>
      </w:r>
    </w:p>
    <w:p>
      <w:pPr>
        <w:keepNext w:val="0"/>
        <w:keepLines w:val="0"/>
        <w:widowControl/>
        <w:suppressLineNumbers w:val="0"/>
        <w:jc w:val="left"/>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403215" cy="1541145"/>
            <wp:effectExtent l="0" t="0" r="6985" b="1333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8"/>
                    <a:stretch>
                      <a:fillRect/>
                    </a:stretch>
                  </pic:blipFill>
                  <pic:spPr>
                    <a:xfrm>
                      <a:off x="0" y="0"/>
                      <a:ext cx="5403215" cy="1541145"/>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政策内容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在龙岗区依法依规经营的餐饮门店，自2022年1月1日至2022年6月30日期间实际经营地曾被纳入封控区、管控区（含参照管控区管理的区域）范围内，经所在街道办核实后，给予每家门店1万元补贴。</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责任单位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龙岗区工业和信息化局、各街道</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办理期限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自本指南发布之日起至2022年7月31日，由各社区完成对辖区内所有符合条件餐饮门店的核实工作。</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适用对象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在龙岗区依法依规经营的餐饮门店，自2022年1月1日至2022年6月30日期间实际经营地曾被纳入封控区、管控区（含参照管控区管理的区域）范围内，并在项目申报时正常经营。</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执行标准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给予符合条件的每家门店1万元补贴，每家门店仅可获得一次。</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申请流程及材料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1.受理方式：免申即享。</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2.需审核的材料：营业执照、食品经营许可证、房产证/租赁合同/租赁凭证。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3.操作流程：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（1）各社区对辖区内符合条件的餐饮门店进行核实，核实营业执照、食品经营许可证、房产证/租赁合同/租赁凭证。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（2）各社区对餐饮门店进行审核、公示，报所属街道审批。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（3）发放补贴。</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07</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spacing w:val="24"/>
          <w:sz w:val="19"/>
          <w:szCs w:val="19"/>
          <w:bdr w:val="none" w:color="auto" w:sz="0" w:space="0"/>
        </w:rPr>
        <w:t>单位：区工业和信息化局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spacing w:val="24"/>
          <w:sz w:val="19"/>
          <w:szCs w:val="19"/>
          <w:bdr w:val="none" w:color="auto" w:sz="0" w:space="0"/>
        </w:rPr>
        <w:t>电话：0755-28948935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spacing w:val="24"/>
          <w:sz w:val="19"/>
          <w:szCs w:val="19"/>
          <w:bdr w:val="none" w:color="auto" w:sz="0" w:space="0"/>
        </w:rPr>
        <w:t>邮箱：</w:t>
      </w:r>
      <w:r>
        <w:rPr>
          <w:rFonts w:hint="default" w:ascii="Helvetica" w:hAnsi="Helvetica" w:eastAsia="Helvetica" w:cs="Helvetica"/>
          <w:color w:val="D82821"/>
          <w:spacing w:val="24"/>
          <w:sz w:val="19"/>
          <w:szCs w:val="19"/>
          <w:bdr w:val="none" w:color="auto" w:sz="0" w:space="0"/>
        </w:rPr>
        <w:t>gxjsm@lg.gov.cn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43830" cy="1495425"/>
            <wp:effectExtent l="0" t="0" r="13970" b="1333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9"/>
                    <a:stretch>
                      <a:fillRect/>
                    </a:stretch>
                  </pic:blipFill>
                  <pic:spPr>
                    <a:xfrm>
                      <a:off x="0" y="0"/>
                      <a:ext cx="5243830" cy="1495425"/>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政策内容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对于主动配合疫情防控，保持企业运作，并在条件具备时恢复经营的体育场所、电影院、酒店宾馆、旅游景区、旅行社、娱乐场所分档予以支持，单个企业最高60万元。</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责任单位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龙岗区文化广电旅游体育局</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申报期限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自本指南发布日起至2022年4月30日止。未在此时间内提交申请材料的，视为放弃，逾期不再受理。</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适用对象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1.2021年12月31日（含）前在龙岗区登记注册，且注册登记、税务关系、统计关系在龙岗区的经营单位。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纳入限额以上企业统计范围的住宿业企业，取得电影放映经营许可证的电影院，取得娱乐经营许可证的娱乐场所，取得旅行社业务经营许可证的旅行社，取得营业执照的体育场所经营单位以及A级旅游景区经营管理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3.2021年以来未被文化行政部门处罚。</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执行标准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（一）体育场所（不含非恒温泳池）。</w:t>
      </w:r>
      <w:r>
        <w:rPr>
          <w:rFonts w:hint="default" w:ascii="Helvetica" w:hAnsi="Helvetica" w:eastAsia="Helvetica" w:cs="Helvetica"/>
          <w:color w:val="3F3F3F"/>
          <w:spacing w:val="24"/>
          <w:sz w:val="19"/>
          <w:szCs w:val="19"/>
          <w:bdr w:val="none" w:color="auto" w:sz="0" w:space="0"/>
        </w:rPr>
        <w:t>按经营面积在300平方米（含）以上分档给予补贴。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Helvetica" w:hAnsi="Helvetica" w:eastAsia="Helvetica" w:cs="Helvetica"/>
          <w:color w:val="3F3F3F"/>
          <w:spacing w:val="24"/>
          <w:sz w:val="19"/>
          <w:szCs w:val="19"/>
          <w:bdr w:val="none" w:color="auto" w:sz="0" w:space="0"/>
        </w:rPr>
        <w:t>（二）电影院。</w:t>
      </w:r>
      <w:r>
        <w:rPr>
          <w:rFonts w:hint="default" w:ascii="Helvetica" w:hAnsi="Helvetica" w:eastAsia="Helvetica" w:cs="Helvetica"/>
          <w:color w:val="3F3F3F"/>
          <w:spacing w:val="24"/>
          <w:sz w:val="19"/>
          <w:szCs w:val="19"/>
          <w:bdr w:val="none" w:color="auto" w:sz="0" w:space="0"/>
        </w:rPr>
        <w:t>按2021年营收分档给予补贴。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Helvetica" w:hAnsi="Helvetica" w:eastAsia="Helvetica" w:cs="Helvetica"/>
          <w:color w:val="3F3F3F"/>
          <w:spacing w:val="24"/>
          <w:sz w:val="19"/>
          <w:szCs w:val="19"/>
          <w:bdr w:val="none" w:color="auto" w:sz="0" w:space="0"/>
        </w:rPr>
        <w:t>（三）酒店宾馆（不含隔离酒店）。</w:t>
      </w:r>
      <w:r>
        <w:rPr>
          <w:rFonts w:hint="default" w:ascii="Helvetica" w:hAnsi="Helvetica" w:eastAsia="Helvetica" w:cs="Helvetica"/>
          <w:color w:val="3F3F3F"/>
          <w:spacing w:val="24"/>
          <w:sz w:val="19"/>
          <w:szCs w:val="19"/>
          <w:bdr w:val="none" w:color="auto" w:sz="0" w:space="0"/>
        </w:rPr>
        <w:t>按2021年营收及星级分类分档给予补贴。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Helvetica" w:hAnsi="Helvetica" w:eastAsia="Helvetica" w:cs="Helvetica"/>
          <w:color w:val="3F3F3F"/>
          <w:spacing w:val="24"/>
          <w:sz w:val="19"/>
          <w:szCs w:val="19"/>
          <w:bdr w:val="none" w:color="auto" w:sz="0" w:space="0"/>
        </w:rPr>
        <w:t>（四）A级旅游景区。</w:t>
      </w:r>
      <w:r>
        <w:rPr>
          <w:rFonts w:hint="default" w:ascii="Helvetica" w:hAnsi="Helvetica" w:eastAsia="Helvetica" w:cs="Helvetica"/>
          <w:color w:val="3F3F3F"/>
          <w:spacing w:val="24"/>
          <w:sz w:val="19"/>
          <w:szCs w:val="19"/>
          <w:bdr w:val="none" w:color="auto" w:sz="0" w:space="0"/>
        </w:rPr>
        <w:t>每家A级旅游景区经营管理单位给予补贴。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Helvetica" w:hAnsi="Helvetica" w:eastAsia="Helvetica" w:cs="Helvetica"/>
          <w:color w:val="3F3F3F"/>
          <w:spacing w:val="24"/>
          <w:sz w:val="19"/>
          <w:szCs w:val="19"/>
          <w:bdr w:val="none" w:color="auto" w:sz="0" w:space="0"/>
        </w:rPr>
        <w:t>（五）旅行社。</w:t>
      </w:r>
      <w:r>
        <w:rPr>
          <w:rFonts w:hint="default" w:ascii="Helvetica" w:hAnsi="Helvetica" w:eastAsia="Helvetica" w:cs="Helvetica"/>
          <w:color w:val="3F3F3F"/>
          <w:spacing w:val="24"/>
          <w:sz w:val="19"/>
          <w:szCs w:val="19"/>
          <w:bdr w:val="none" w:color="auto" w:sz="0" w:space="0"/>
        </w:rPr>
        <w:t>按规模以下及规模以上分档给予补贴。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Helvetica" w:hAnsi="Helvetica" w:eastAsia="Helvetica" w:cs="Helvetica"/>
          <w:color w:val="3F3F3F"/>
          <w:spacing w:val="24"/>
          <w:sz w:val="19"/>
          <w:szCs w:val="19"/>
          <w:bdr w:val="none" w:color="auto" w:sz="0" w:space="0"/>
        </w:rPr>
        <w:t>（六）娱乐场所。</w:t>
      </w:r>
      <w:r>
        <w:rPr>
          <w:rFonts w:hint="default" w:ascii="Helvetica" w:hAnsi="Helvetica" w:eastAsia="Helvetica" w:cs="Helvetica"/>
          <w:color w:val="3F3F3F"/>
          <w:spacing w:val="24"/>
          <w:sz w:val="19"/>
          <w:szCs w:val="19"/>
          <w:bdr w:val="none" w:color="auto" w:sz="0" w:space="0"/>
        </w:rPr>
        <w:t>按经营面积分档给予补贴。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备注：涉及营收数据以龙岗区统计局系统数据为准。</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申请流程及材料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申报单位于2022年4月30日前提交申请材料扫描件至相关邮箱（要求请扫码下方二维码）→网上预审（材料不符合要求的，由主管部门退件，申报单位重新补充完善材料后上传）→区行业主管部门核查、公示→申报单位打印寄送全部材料（形成一套纸质材料加盖公章）→资金发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2919095" cy="2919095"/>
            <wp:effectExtent l="0" t="0" r="6985" b="698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10"/>
                    <a:stretch>
                      <a:fillRect/>
                    </a:stretch>
                  </pic:blipFill>
                  <pic:spPr>
                    <a:xfrm>
                      <a:off x="0" y="0"/>
                      <a:ext cx="2919095" cy="291909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731385" cy="1349375"/>
            <wp:effectExtent l="0" t="0" r="8255" b="698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1"/>
                    <a:stretch>
                      <a:fillRect/>
                    </a:stretch>
                  </pic:blipFill>
                  <pic:spPr>
                    <a:xfrm>
                      <a:off x="0" y="0"/>
                      <a:ext cx="4731385" cy="1349375"/>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政策内容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自政策发布之日起至2022年6月30日期间，通过在龙岗区注册纳统的限额以上汽车经销企业购买10万元（含）至30万元（不含）小汽车（不包括二手车）的个人消费者，可领取5000元/台的数字人民币，购买30万元以上（含）小汽车（不包括二手车）的个人消费者，可领取10000元/台的数字人民币。数字人民币总额为人民币3000万元，先到先得，发完即止。</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责任单位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龙岗区工业和信息化局</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申报期限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自政策发布之日起至2022年6月30日，先到先得，发完即止。</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适用对象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（一）自政策发布之日起至6月30日期间通过在龙岗区注册纳统的限额以上汽车经销企业购车的个人消费者。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（二）所购车辆必须是国六以上排放标准燃油小汽车或新能源小汽车（纳入工业和信息化部《新能源汽车推广应用推荐车型目录》）。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（三）所购车辆必须是新车，且符合公安部《机动车类型术语和定义》（GA802-2019）中机动车规格术语分类表规定的小型、微型载客汽车。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（四）营运车辆及特种车辆不在奖励范围。</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执行标准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购买裸车价10万元（含）至30万元（不含）小汽车（不包括二手车）的个人消费者，可领取5000元/台的数字人民币，购买裸车价30万元以上（含）小汽车（不包括二手车）的个人消费者，可领取10000元/台的数字人民币。购车价格和时间以机动车销售统一发票（不含税）为准，且销售合同、定金支付凭证、行驶证时间须在活动时间范围内。消费奖励通过数字人民币方式发放至消费者数字人民币钱包，数字人民币须在龙岗区范围内相关商超门店使用，可抵用现金分多次使用。</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申请流程及材料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1.受理方式：申报即享。</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2.操作流程：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（1）委托深圳市汽车经销商商会负责汇总并初步审核，确认符合资格的购车消费者信息，按要求提交至合作银行。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（2）符合条件申请龙岗区购车补贴的消费者须先开通数字人民币个人钱包。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（3）银行将购车补贴款项自动入账至符合条件的购车消费者数字人民币个人钱包。</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07</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单位：区工业和信息化局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电话：0755-28948935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Helvetica" w:hAnsi="Helvetica" w:eastAsia="Helvetica" w:cs="Helvetica"/>
          <w:color w:val="FF0000"/>
          <w:spacing w:val="24"/>
          <w:sz w:val="19"/>
          <w:szCs w:val="19"/>
          <w:bdr w:val="none" w:color="auto" w:sz="0" w:space="0"/>
        </w:rPr>
      </w:pPr>
      <w:r>
        <w:rPr>
          <w:rFonts w:hint="default" w:ascii="Helvetica" w:hAnsi="Helvetica" w:eastAsia="Helvetica" w:cs="Helvetica"/>
          <w:color w:val="3F3F3F"/>
          <w:spacing w:val="24"/>
          <w:sz w:val="19"/>
          <w:szCs w:val="19"/>
          <w:bdr w:val="none" w:color="auto" w:sz="0" w:space="0"/>
        </w:rPr>
        <w:t>邮箱：</w:t>
      </w:r>
      <w:r>
        <w:rPr>
          <w:rFonts w:hint="default" w:ascii="Helvetica" w:hAnsi="Helvetica" w:eastAsia="Helvetica" w:cs="Helvetica"/>
          <w:color w:val="FF0000"/>
          <w:spacing w:val="24"/>
          <w:sz w:val="19"/>
          <w:szCs w:val="19"/>
          <w:bdr w:val="none" w:color="auto" w:sz="0" w:space="0"/>
        </w:rPr>
        <w:fldChar w:fldCharType="begin"/>
      </w:r>
      <w:r>
        <w:rPr>
          <w:rFonts w:hint="default" w:ascii="Helvetica" w:hAnsi="Helvetica" w:eastAsia="Helvetica" w:cs="Helvetica"/>
          <w:color w:val="FF0000"/>
          <w:spacing w:val="24"/>
          <w:sz w:val="19"/>
          <w:szCs w:val="19"/>
          <w:bdr w:val="none" w:color="auto" w:sz="0" w:space="0"/>
        </w:rPr>
        <w:instrText xml:space="preserve"> HYPERLINK "mailto:gxjsm@lg.gov.cn" </w:instrText>
      </w:r>
      <w:r>
        <w:rPr>
          <w:rFonts w:hint="default" w:ascii="Helvetica" w:hAnsi="Helvetica" w:eastAsia="Helvetica" w:cs="Helvetica"/>
          <w:color w:val="FF0000"/>
          <w:spacing w:val="24"/>
          <w:sz w:val="19"/>
          <w:szCs w:val="19"/>
          <w:bdr w:val="none" w:color="auto" w:sz="0" w:space="0"/>
        </w:rPr>
        <w:fldChar w:fldCharType="separate"/>
      </w:r>
      <w:r>
        <w:rPr>
          <w:rStyle w:val="8"/>
          <w:rFonts w:hint="default" w:ascii="Helvetica" w:hAnsi="Helvetica" w:eastAsia="Helvetica" w:cs="Helvetica"/>
          <w:spacing w:val="24"/>
          <w:sz w:val="19"/>
          <w:szCs w:val="19"/>
          <w:bdr w:val="none" w:color="auto" w:sz="0" w:space="0"/>
        </w:rPr>
        <w:t>gxjsm@lg.gov.cn</w:t>
      </w:r>
      <w:r>
        <w:rPr>
          <w:rFonts w:hint="default" w:ascii="Helvetica" w:hAnsi="Helvetica" w:eastAsia="Helvetica" w:cs="Helvetica"/>
          <w:color w:val="FF0000"/>
          <w:spacing w:val="24"/>
          <w:sz w:val="19"/>
          <w:szCs w:val="19"/>
          <w:bdr w:val="none" w:color="auto" w:sz="0" w:space="0"/>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Helvetica" w:hAnsi="Helvetica" w:eastAsia="Helvetica" w:cs="Helvetica"/>
          <w:color w:val="FF0000"/>
          <w:spacing w:val="24"/>
          <w:sz w:val="19"/>
          <w:szCs w:val="19"/>
          <w:bdr w:val="none" w:color="auto" w:sz="0" w:space="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Helvetica" w:hAnsi="Helvetica" w:eastAsia="Helvetica" w:cs="Helvetica"/>
          <w:color w:val="FF0000"/>
          <w:spacing w:val="24"/>
          <w:sz w:val="19"/>
          <w:szCs w:val="19"/>
          <w:bdr w:val="none" w:color="auto" w:sz="0" w:space="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Helvetica" w:hAnsi="Helvetica" w:eastAsia="Helvetica" w:cs="Helvetica"/>
          <w:color w:val="FF0000"/>
          <w:spacing w:val="24"/>
          <w:sz w:val="19"/>
          <w:szCs w:val="19"/>
          <w:bdr w:val="none" w:color="auto" w:sz="0" w:space="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648200" cy="1325880"/>
            <wp:effectExtent l="0" t="0" r="0" b="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2"/>
                    <a:stretch>
                      <a:fillRect/>
                    </a:stretch>
                  </pic:blipFill>
                  <pic:spPr>
                    <a:xfrm>
                      <a:off x="0" y="0"/>
                      <a:ext cx="4648200" cy="1325880"/>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政策内容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面向市民群众发放总额为2000万元消费券，消费券须在龙岗区商家使用。</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责任单位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龙岗区工业和信息化局</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使用期限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获得后15日内消费完毕，过期自动作废。</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适用对象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（一）消费券须在龙岗区商家使用。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（二）消费券分若干轮发放，于5月底前发放完毕。</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执行标准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通过摇号抽奖方式确定消费券发放对象，设置20元、30元、50元、100元、200元、1000元面值的消费券。</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Helvetica" w:hAnsi="Helvetica" w:eastAsia="Helvetica" w:cs="Helvetica"/>
          <w:color w:val="3F3F3F"/>
          <w:spacing w:val="24"/>
          <w:sz w:val="19"/>
          <w:szCs w:val="19"/>
          <w:bdr w:val="none" w:color="auto" w:sz="0" w:space="0"/>
        </w:rPr>
        <w:t>使用规则：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（一）消费券须一次性全额使用，不找零、不可重复使用；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（二）消费券须在有效期内使用，逾期失效并退回券池；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（三）消费券不能相互转赠、不能兑现；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（四）所有面值的消费券必须在龙岗区商家使用。</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申请流程及材料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受理方式：预约报名。</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07</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spacing w:val="24"/>
          <w:sz w:val="19"/>
          <w:szCs w:val="19"/>
          <w:bdr w:val="none" w:color="auto" w:sz="0" w:space="0"/>
        </w:rPr>
        <w:t>单位：区工业和信息化局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spacing w:val="24"/>
          <w:sz w:val="19"/>
          <w:szCs w:val="19"/>
          <w:bdr w:val="none" w:color="auto" w:sz="0" w:space="0"/>
        </w:rPr>
        <w:t>电话：0755-28948935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spacing w:val="24"/>
          <w:sz w:val="19"/>
          <w:szCs w:val="19"/>
          <w:bdr w:val="none" w:color="auto" w:sz="0" w:space="0"/>
        </w:rPr>
        <w:t>邮箱：</w:t>
      </w:r>
      <w:r>
        <w:rPr>
          <w:rFonts w:hint="default" w:ascii="Helvetica" w:hAnsi="Helvetica" w:eastAsia="Helvetica" w:cs="Helvetica"/>
          <w:color w:val="FF0000"/>
          <w:spacing w:val="24"/>
          <w:sz w:val="19"/>
          <w:szCs w:val="19"/>
          <w:bdr w:val="none" w:color="auto" w:sz="0" w:space="0"/>
        </w:rPr>
        <w:t>gxjsm@lg.gov.cn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488180" cy="1280160"/>
            <wp:effectExtent l="0" t="0" r="7620" b="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3"/>
                    <a:stretch>
                      <a:fillRect/>
                    </a:stretch>
                  </pic:blipFill>
                  <pic:spPr>
                    <a:xfrm>
                      <a:off x="0" y="0"/>
                      <a:ext cx="4488180" cy="1280160"/>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政策内容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规模以上工业企业、限额以上批发零售业和住宿餐饮业企业、规模以上服务业企业(不含金融、类金融和房地产行业）自2022年3月1日至2022年5月31日期间，获得银行等金融机构新增贷款（展期视同新增），按3个月贷款实际支付利息的50%给予支持，单个企业最高30万元。</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责任单位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龙岗区工业和信息化局（区金融工作局）</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申报期限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免申即享，由金融机构代为办理。</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适用对象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龙岗区规模以上工业企业、限额以上批发零售业和住宿餐饮业企业、规模以上服务业企业(不含金融、类金融和房地产行业），具体以2022年3月区统计部门数据为准。</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执行标准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（一）企业在2022年3月1日至2022年5月31日期间，获得深圳辖内银行等金融机构的新增经营性贷款（展期视同新增）。</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（二）贷款必须用于支持对象生产经营，不得用于并购贷款、国家产业政策禁止和限制的项目以及参与民间借贷、投资资本市场和个人消费等。</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申请流程及材料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1.受理方式：免申即享，按照“先付后贴”方式实施。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2.操作流程：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（1）由各银行等金融机构按月统计和梳理符合上述规定条件的已发生贷款，制作贷款贴息明细表。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相关金融机构在2022年9月的前15个工作日内一次性将贷款已满三个月的贴息明细表报区工业和信息化局（区金融工作局）审核。区工业和信息化局（区金融工作局）对名单进行初审，并将拟资助贷款贴息项目向社会公示，公示期7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（3）公示期满后20个工作日内，区工业和信息化局（区金融工作局）向区财政统一申请资金统筹，各金融机构将拟贴息企业的收款收据交区工业和信息化局（区金融工作局）汇总。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（4）区工业和信息化局（区金融工作局）在区财政下达资金计划后10个工作日内按计划将贴息资金拨给各企业。</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07</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default" w:ascii="Helvetica" w:hAnsi="Helvetica" w:eastAsia="Helvetica" w:cs="Helvetica"/>
          <w:spacing w:val="24"/>
          <w:sz w:val="19"/>
          <w:szCs w:val="19"/>
          <w:bdr w:val="none" w:color="auto" w:sz="0" w:space="0"/>
        </w:rPr>
        <w:t>单位：区工业和信息化局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spacing w:val="24"/>
          <w:sz w:val="19"/>
          <w:szCs w:val="19"/>
          <w:bdr w:val="none" w:color="auto" w:sz="0" w:space="0"/>
        </w:rPr>
        <w:t>电话：0755-28949252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spacing w:val="24"/>
          <w:sz w:val="19"/>
          <w:szCs w:val="19"/>
          <w:bdr w:val="none" w:color="auto" w:sz="0" w:space="0"/>
        </w:rPr>
        <w:t>邮箱：</w:t>
      </w:r>
      <w:r>
        <w:rPr>
          <w:rFonts w:hint="default" w:ascii="Helvetica" w:hAnsi="Helvetica" w:eastAsia="Helvetica" w:cs="Helvetica"/>
          <w:color w:val="FF0000"/>
          <w:spacing w:val="24"/>
          <w:sz w:val="19"/>
          <w:szCs w:val="19"/>
          <w:bdr w:val="none" w:color="auto" w:sz="0" w:space="0"/>
        </w:rPr>
        <w:t>gxjr@lg.gov.cn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312920" cy="1229995"/>
            <wp:effectExtent l="0" t="0" r="0" b="444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4"/>
                    <a:stretch>
                      <a:fillRect/>
                    </a:stretch>
                  </pic:blipFill>
                  <pic:spPr>
                    <a:xfrm>
                      <a:off x="0" y="0"/>
                      <a:ext cx="4312920" cy="1229995"/>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政策内容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鼓励金融机构丰富信用产品，扩大“信易贷”服务范围并加大向辖区中小企业倾斜力度，力争全年发放纯信用贷款不少于4亿元。 </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责任单位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龙岗区发展和改革局、区信用促进会</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申报期限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全年持续受理。</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适用对象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龙岗区范围内信用良好的企业。</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申请流程及材料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Helvetica" w:hAnsi="Helvetica" w:eastAsia="Helvetica" w:cs="Helvetica"/>
          <w:color w:val="3F3F3F"/>
          <w:spacing w:val="24"/>
          <w:sz w:val="19"/>
          <w:szCs w:val="19"/>
          <w:bdr w:val="none" w:color="auto" w:sz="0" w:space="0"/>
        </w:rPr>
        <w:t>操作流程：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1.企业关注“华夏信用促进中心”微信公众号；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2.点击进入“信易贷”模块，再点击“申请贷款”进入申请页面；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3.在线填报企业基本信息及资金需求等信息后提交；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4.对申请企业的信用、规模、资金需求等情况进行调研分析，建立企业融资“信用档案”；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5.对有融资需求的企业进行“信用画像”；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6.金融机构参考企业信用情况确定贷款额度完成“信易贷”服务。</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default" w:ascii="Helvetica" w:hAnsi="Helvetica" w:eastAsia="Helvetica" w:cs="Helvetica"/>
          <w:spacing w:val="24"/>
          <w:sz w:val="19"/>
          <w:szCs w:val="19"/>
          <w:bdr w:val="none" w:color="auto" w:sz="0" w:space="0"/>
        </w:rPr>
        <w:t>单位：区信用促进会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spacing w:val="24"/>
          <w:sz w:val="19"/>
          <w:szCs w:val="19"/>
          <w:bdr w:val="none" w:color="auto" w:sz="0" w:space="0"/>
        </w:rPr>
        <w:t>电话：0755-28693166、13613062990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spacing w:val="24"/>
          <w:sz w:val="19"/>
          <w:szCs w:val="19"/>
          <w:bdr w:val="none" w:color="auto" w:sz="0" w:space="0"/>
        </w:rPr>
        <w:t>单位：区发展和改革局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spacing w:val="24"/>
          <w:sz w:val="19"/>
          <w:szCs w:val="19"/>
          <w:bdr w:val="none" w:color="auto" w:sz="0" w:space="0"/>
        </w:rPr>
        <w:t>电话：0755-28901839</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015740" cy="1145540"/>
            <wp:effectExtent l="0" t="0" r="7620" b="1270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5"/>
                    <a:stretch>
                      <a:fillRect/>
                    </a:stretch>
                  </pic:blipFill>
                  <pic:spPr>
                    <a:xfrm>
                      <a:off x="0" y="0"/>
                      <a:ext cx="4015740" cy="1145540"/>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政策内容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对辖区内在2022年3月12日前已开工但受疫情影响按政府要求采取停工措施的市、区在监的建设工程（不含小散工程），按照到岗工人数核算，单个工地（或者标段）给予建筑业企业最高10万元补贴。</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责任单位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区住房和建设局、区水务局、市交通运输局龙岗管理局</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申报期限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自本指南发布日起至2022年4月30日止。未在此时间内提交申请材料的，视为放弃，逾期不再受理。</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适用对象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在龙岗区范围内2022年3月12日前已开工但受疫情影响按政府要求采取停工措施的市、区住建、水务、交通行业主管部门在监的在建工地（不含小散工程）的建筑业企业（总承包工程发包的施工总承包单位，专业承包工程发包的专业承包单位）。</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执行标准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对符合条件的工地，按到岗工人每人500元的标准，补贴金额发放至相应的建筑业企业，单个工地（或者标段）给予建筑业企业最高10万元补助。具体以2022年3月20日辖区建设工程“白名单”及各工地2022年3月20日到岗工人台账为补贴依据。</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申请流程及材料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Helvetica" w:hAnsi="Helvetica" w:eastAsia="Helvetica" w:cs="Helvetica"/>
          <w:color w:val="3F3F3F"/>
          <w:spacing w:val="24"/>
          <w:sz w:val="19"/>
          <w:szCs w:val="19"/>
          <w:bdr w:val="none" w:color="auto" w:sz="0" w:space="0"/>
        </w:rPr>
        <w:t>（一）申请流程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申报企业按照不同行业归属，于2022年4月30日前将申请材料打包，邮件命名为：“企业名称+工程名称”，发送至下述邮箱：</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1.市、区住建部门在监的在建工地发至区住房和建设局：zjjgk@lg.gov.cn；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2.市、区水务部门在监的在建工地发至区水务局：swjjak@lg.gov.cn；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3.市、区交通部门在监的在建工地发至市交通运输局龙岗管理局：jtjzzb@lg.gov.cn。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Helvetica" w:hAnsi="Helvetica" w:eastAsia="Helvetica" w:cs="Helvetica"/>
          <w:color w:val="3F3F3F"/>
          <w:spacing w:val="24"/>
          <w:sz w:val="19"/>
          <w:szCs w:val="19"/>
          <w:bdr w:val="none" w:color="auto" w:sz="0" w:space="0"/>
        </w:rPr>
        <w:t>（二）申请材料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1.龙岗区建设工程资金补助申请表；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2.企业统一社会信用代码证书、法人证明书、法人授权委托证明、法人身份证复印件、申请人身份证复印件一套；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3.2022年3月20日建设工程到岗工人台账；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4.建设工程施工许可或开工批复文件；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5.企业申请资金补助承诺书。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上述材料均要加盖申请企业公章。</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07</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default" w:ascii="Helvetica" w:hAnsi="Helvetica" w:eastAsia="Helvetica" w:cs="Helvetica"/>
          <w:color w:val="3F3F3F"/>
          <w:spacing w:val="24"/>
          <w:sz w:val="19"/>
          <w:szCs w:val="19"/>
          <w:bdr w:val="none" w:color="auto" w:sz="0" w:space="0"/>
        </w:rPr>
        <w:t>区住房和建设局：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default" w:ascii="Helvetica" w:hAnsi="Helvetica" w:eastAsia="Helvetica" w:cs="Helvetica"/>
          <w:color w:val="3F3F3F"/>
          <w:spacing w:val="24"/>
          <w:sz w:val="19"/>
          <w:szCs w:val="19"/>
          <w:bdr w:val="none" w:color="auto" w:sz="0" w:space="0"/>
        </w:rPr>
        <w:t>0755-28589873、0755-28589882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color w:val="3F3F3F"/>
          <w:spacing w:val="24"/>
          <w:sz w:val="19"/>
          <w:szCs w:val="19"/>
          <w:bdr w:val="none" w:color="auto" w:sz="0" w:space="0"/>
        </w:rPr>
        <w:t>区水务局：0755-84863082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color w:val="3F3F3F"/>
          <w:spacing w:val="24"/>
          <w:sz w:val="19"/>
          <w:szCs w:val="19"/>
          <w:bdr w:val="none" w:color="auto" w:sz="0" w:space="0"/>
        </w:rPr>
        <w:t>市交通运输局龙岗管理局：0755-28922083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366260" cy="1245235"/>
            <wp:effectExtent l="0" t="0" r="7620" b="4445"/>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6"/>
                    <a:stretch>
                      <a:fillRect/>
                    </a:stretch>
                  </pic:blipFill>
                  <pic:spPr>
                    <a:xfrm>
                      <a:off x="0" y="0"/>
                      <a:ext cx="4366260" cy="1245235"/>
                    </a:xfrm>
                    <a:prstGeom prst="rect">
                      <a:avLst/>
                    </a:prstGeom>
                    <a:noFill/>
                    <a:ln w="9525">
                      <a:noFill/>
                    </a:ln>
                  </pic:spPr>
                </pic:pic>
              </a:graphicData>
            </a:graphic>
          </wp:inline>
        </w:drawing>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政策内容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鼓励企业采购自用新型疫情防控物资，对严格落实疫情防控措施的辖区“四上”企业，自2022年1月1日至2022年6月30日期间采购新冠病毒抗原检测试剂、防疫医疗设备以及智能测温、数字化信息采集、无人车等数字防疫设备总金额在2万元以上（含）的，按其采购金额的50%予以补助，单个企业最高20万元。</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责任单位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龙岗区工业和信息化局</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申报期限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自本指南发布日起至2022年7月31日止。未在此时间内提交申请材料的，视为放弃，逾期不再受理。本政策补贴总额控制在1000万元以内，按申请顺序，先到先得。</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适用对象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严格落实疫情防控措施，采购自用相关防疫物资发票开具日期在2022年1月1日一2022年6月30日期间，且采购总金额在2万元以上（含）的龙岗区“四上企业”。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纳入补贴范围的防控物资包括：新冠病毒抗原检测试剂、无人车等自动化智能测温设备、（鼓励采用含人脸识别、数字化信息采集功能的）自动测温门禁设备（系统）、自动感应的洗手液机、自动消毒机。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不纳入补贴范围的包括：口罩、防护服、手套、面罩等个人防护用品，消毒液、洗手液等消杀用品，手持式额温枪等传统测温仪，药品及医疗救助设备，门禁设备安装等。</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执行标准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default" w:ascii="Helvetica" w:hAnsi="Helvetica" w:eastAsia="Helvetica" w:cs="Helvetica"/>
          <w:color w:val="3F3F3F"/>
          <w:spacing w:val="24"/>
          <w:sz w:val="19"/>
          <w:szCs w:val="19"/>
          <w:bdr w:val="none" w:color="auto" w:sz="0" w:space="0"/>
        </w:rPr>
        <w:t>根据企业采购防控物资实际总支付金额的50%进行补贴，且补贴金额上限按企业2022年3月缴交社保人数分档设置。其中，参保人数100人以下的，补贴不超过1万元；参保人数100人</w:t>
      </w:r>
      <w:r>
        <w:rPr>
          <w:rFonts w:hint="default" w:ascii="Helvetica" w:hAnsi="Helvetica" w:eastAsia="Helvetica" w:cs="Helvetica"/>
          <w:color w:val="3F3F3F"/>
          <w:spacing w:val="24"/>
          <w:sz w:val="19"/>
          <w:szCs w:val="19"/>
          <w:bdr w:val="none" w:color="auto" w:sz="0" w:space="0"/>
          <w:shd w:val="clear" w:fill="FFFFFF"/>
        </w:rPr>
        <w:t>~</w:t>
      </w:r>
      <w:r>
        <w:rPr>
          <w:rFonts w:hint="default" w:ascii="Helvetica" w:hAnsi="Helvetica" w:eastAsia="Helvetica" w:cs="Helvetica"/>
          <w:color w:val="3F3F3F"/>
          <w:spacing w:val="24"/>
          <w:sz w:val="19"/>
          <w:szCs w:val="19"/>
          <w:bdr w:val="none" w:color="auto" w:sz="0" w:space="0"/>
        </w:rPr>
        <w:t>299人的，补贴不超过3万元；参保人数300人~499人的，补贴不超过5万元；参保人数500人</w:t>
      </w:r>
      <w:r>
        <w:rPr>
          <w:rFonts w:hint="default" w:ascii="Helvetica" w:hAnsi="Helvetica" w:eastAsia="Helvetica" w:cs="Helvetica"/>
          <w:color w:val="3F3F3F"/>
          <w:spacing w:val="24"/>
          <w:sz w:val="19"/>
          <w:szCs w:val="19"/>
          <w:bdr w:val="none" w:color="auto" w:sz="0" w:space="0"/>
          <w:shd w:val="clear" w:fill="FFFFFF"/>
        </w:rPr>
        <w:t>~</w:t>
      </w:r>
      <w:r>
        <w:rPr>
          <w:rFonts w:hint="default" w:ascii="Helvetica" w:hAnsi="Helvetica" w:eastAsia="Helvetica" w:cs="Helvetica"/>
          <w:color w:val="3F3F3F"/>
          <w:spacing w:val="24"/>
          <w:sz w:val="19"/>
          <w:szCs w:val="19"/>
          <w:bdr w:val="none" w:color="auto" w:sz="0" w:space="0"/>
        </w:rPr>
        <w:t>999人的，补贴不超过10万元；参保人数1000人以上的，补贴不超过20万元。</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申请流程及材料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1.受理方式：申报即享。</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2.申报材料：企业营业执照、防控物资采购合同（双方盖章）、采购款支付凭证、发票、设备应用场景图片等。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Helvetica" w:hAnsi="Helvetica" w:eastAsia="Helvetica" w:cs="Helvetica"/>
          <w:color w:val="3F3F3F"/>
          <w:spacing w:val="24"/>
          <w:sz w:val="19"/>
          <w:szCs w:val="19"/>
          <w:bdr w:val="none" w:color="auto" w:sz="0" w:space="0"/>
        </w:rPr>
        <w:t>3.操作流程：企业提出申请—龙岗区工业和信息化局受理—委托第三方会计师事务所进行审核—提请局党组会审定—公示拟补贴企业名单—资金拨付。</w:t>
      </w:r>
    </w:p>
    <w:p>
      <w:pPr>
        <w:keepNext w:val="0"/>
        <w:keepLines w:val="0"/>
        <w:widowControl/>
        <w:suppressLineNumbers w:val="0"/>
        <w:jc w:val="left"/>
      </w:pPr>
      <w:r>
        <w:rPr>
          <w:rStyle w:val="7"/>
          <w:rFonts w:ascii="宋体" w:hAnsi="宋体" w:eastAsia="宋体" w:cs="宋体"/>
          <w:kern w:val="0"/>
          <w:sz w:val="24"/>
          <w:szCs w:val="24"/>
          <w:bdr w:val="none" w:color="auto" w:sz="0" w:space="0"/>
          <w:lang w:val="en-US" w:eastAsia="zh-CN" w:bidi="ar"/>
        </w:rPr>
        <w:t>07</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7"/>
          <w:rFonts w:hint="default" w:ascii="Helvetica" w:hAnsi="Helvetica" w:eastAsia="Helvetica" w:cs="Helvetica"/>
          <w:color w:val="3F3F3F"/>
          <w:spacing w:val="24"/>
          <w:sz w:val="19"/>
          <w:szCs w:val="19"/>
          <w:bdr w:val="none" w:color="auto" w:sz="0" w:space="0"/>
        </w:rPr>
        <w:t>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default" w:ascii="Helvetica" w:hAnsi="Helvetica" w:eastAsia="Helvetica" w:cs="Helvetica"/>
          <w:color w:val="3F3F3F"/>
          <w:spacing w:val="24"/>
          <w:sz w:val="19"/>
          <w:szCs w:val="19"/>
          <w:bdr w:val="none" w:color="auto" w:sz="0" w:space="0"/>
        </w:rPr>
        <w:t>单位：区工业和信息化局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default" w:ascii="Helvetica" w:hAnsi="Helvetica" w:eastAsia="Helvetica" w:cs="Helvetica"/>
          <w:color w:val="3F3F3F"/>
          <w:spacing w:val="24"/>
          <w:sz w:val="19"/>
          <w:szCs w:val="19"/>
          <w:bdr w:val="none" w:color="auto" w:sz="0" w:space="0"/>
        </w:rPr>
        <w:t>电话：0755-28949265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Helvetica" w:hAnsi="Helvetica" w:eastAsia="Helvetica" w:cs="Helvetica"/>
          <w:color w:val="FF0000"/>
          <w:spacing w:val="24"/>
          <w:sz w:val="19"/>
          <w:szCs w:val="19"/>
          <w:bdr w:val="none" w:color="auto" w:sz="0" w:space="0"/>
        </w:rPr>
      </w:pPr>
      <w:r>
        <w:rPr>
          <w:rFonts w:hint="default" w:ascii="Helvetica" w:hAnsi="Helvetica" w:eastAsia="Helvetica" w:cs="Helvetica"/>
          <w:color w:val="3F3F3F"/>
          <w:spacing w:val="24"/>
          <w:sz w:val="19"/>
          <w:szCs w:val="19"/>
          <w:bdr w:val="none" w:color="auto" w:sz="0" w:space="0"/>
        </w:rPr>
        <w:t>邮箱：</w:t>
      </w:r>
      <w:r>
        <w:rPr>
          <w:rFonts w:hint="default" w:ascii="Helvetica" w:hAnsi="Helvetica" w:eastAsia="Helvetica" w:cs="Helvetica"/>
          <w:color w:val="FF0000"/>
          <w:spacing w:val="24"/>
          <w:sz w:val="19"/>
          <w:szCs w:val="19"/>
          <w:bdr w:val="none" w:color="auto" w:sz="0" w:space="0"/>
        </w:rPr>
        <w:fldChar w:fldCharType="begin"/>
      </w:r>
      <w:r>
        <w:rPr>
          <w:rFonts w:hint="default" w:ascii="Helvetica" w:hAnsi="Helvetica" w:eastAsia="Helvetica" w:cs="Helvetica"/>
          <w:color w:val="FF0000"/>
          <w:spacing w:val="24"/>
          <w:sz w:val="19"/>
          <w:szCs w:val="19"/>
          <w:bdr w:val="none" w:color="auto" w:sz="0" w:space="0"/>
        </w:rPr>
        <w:instrText xml:space="preserve"> HYPERLINK "mailto:cyfz@lg.gov.cn" </w:instrText>
      </w:r>
      <w:r>
        <w:rPr>
          <w:rFonts w:hint="default" w:ascii="Helvetica" w:hAnsi="Helvetica" w:eastAsia="Helvetica" w:cs="Helvetica"/>
          <w:color w:val="FF0000"/>
          <w:spacing w:val="24"/>
          <w:sz w:val="19"/>
          <w:szCs w:val="19"/>
          <w:bdr w:val="none" w:color="auto" w:sz="0" w:space="0"/>
        </w:rPr>
        <w:fldChar w:fldCharType="separate"/>
      </w:r>
      <w:r>
        <w:rPr>
          <w:rStyle w:val="8"/>
          <w:rFonts w:hint="default" w:ascii="Helvetica" w:hAnsi="Helvetica" w:eastAsia="Helvetica" w:cs="Helvetica"/>
          <w:spacing w:val="24"/>
          <w:sz w:val="19"/>
          <w:szCs w:val="19"/>
          <w:bdr w:val="none" w:color="auto" w:sz="0" w:space="0"/>
        </w:rPr>
        <w:t>cyfz@lg.gov.cn</w:t>
      </w:r>
      <w:r>
        <w:rPr>
          <w:rFonts w:hint="default" w:ascii="Helvetica" w:hAnsi="Helvetica" w:eastAsia="Helvetica" w:cs="Helvetica"/>
          <w:color w:val="FF0000"/>
          <w:spacing w:val="24"/>
          <w:sz w:val="19"/>
          <w:szCs w:val="19"/>
          <w:bdr w:val="none" w:color="auto" w:sz="0" w:space="0"/>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Helvetica" w:hAnsi="Helvetica" w:eastAsia="Helvetica" w:cs="Helvetica"/>
          <w:color w:val="FF0000"/>
          <w:spacing w:val="24"/>
          <w:sz w:val="19"/>
          <w:szCs w:val="19"/>
          <w:bdr w:val="none" w:color="auto" w:sz="0" w:space="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Helvetica" w:hAnsi="Helvetica" w:eastAsia="Helvetica" w:cs="Helvetica"/>
          <w:color w:val="FF0000"/>
          <w:spacing w:val="24"/>
          <w:sz w:val="19"/>
          <w:szCs w:val="19"/>
          <w:bdr w:val="none" w:color="auto" w:sz="0" w:space="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Helvetica" w:hAnsi="Helvetica" w:eastAsia="Helvetica" w:cs="Helvetica"/>
          <w:color w:val="FF0000"/>
          <w:spacing w:val="24"/>
          <w:sz w:val="19"/>
          <w:szCs w:val="19"/>
          <w:bdr w:val="none" w:color="auto" w:sz="0" w:space="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Helvetica" w:hAnsi="Helvetica" w:eastAsia="宋体" w:cs="Helvetica"/>
          <w:color w:val="FF0000"/>
          <w:spacing w:val="24"/>
          <w:sz w:val="19"/>
          <w:szCs w:val="19"/>
          <w:bdr w:val="none" w:color="auto" w:sz="0" w:space="0"/>
          <w:lang w:eastAsia="zh-CN"/>
        </w:rPr>
      </w:pP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24" name="图片 24" descr="微信图片_2022032715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0327150318"/>
                    <pic:cNvPicPr>
                      <a:picLocks noChangeAspect="1"/>
                    </pic:cNvPicPr>
                  </pic:nvPicPr>
                  <pic:blipFill>
                    <a:blip r:embed="rId17"/>
                    <a:stretch>
                      <a:fillRect/>
                    </a:stretch>
                  </pic:blipFill>
                  <pic:spPr>
                    <a:xfrm>
                      <a:off x="0" y="0"/>
                      <a:ext cx="3507105" cy="7825105"/>
                    </a:xfrm>
                    <a:prstGeom prst="rect">
                      <a:avLst/>
                    </a:prstGeom>
                  </pic:spPr>
                </pic:pic>
              </a:graphicData>
            </a:graphic>
          </wp:inline>
        </w:drawing>
      </w: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23" name="图片 23" descr="微信图片_2022032715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0327150328"/>
                    <pic:cNvPicPr>
                      <a:picLocks noChangeAspect="1"/>
                    </pic:cNvPicPr>
                  </pic:nvPicPr>
                  <pic:blipFill>
                    <a:blip r:embed="rId18"/>
                    <a:stretch>
                      <a:fillRect/>
                    </a:stretch>
                  </pic:blipFill>
                  <pic:spPr>
                    <a:xfrm>
                      <a:off x="0" y="0"/>
                      <a:ext cx="3507105" cy="7825105"/>
                    </a:xfrm>
                    <a:prstGeom prst="rect">
                      <a:avLst/>
                    </a:prstGeom>
                  </pic:spPr>
                </pic:pic>
              </a:graphicData>
            </a:graphic>
          </wp:inline>
        </w:drawing>
      </w: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22" name="图片 22" descr="微信图片_2022032715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327150334"/>
                    <pic:cNvPicPr>
                      <a:picLocks noChangeAspect="1"/>
                    </pic:cNvPicPr>
                  </pic:nvPicPr>
                  <pic:blipFill>
                    <a:blip r:embed="rId19"/>
                    <a:stretch>
                      <a:fillRect/>
                    </a:stretch>
                  </pic:blipFill>
                  <pic:spPr>
                    <a:xfrm>
                      <a:off x="0" y="0"/>
                      <a:ext cx="3507105" cy="7825105"/>
                    </a:xfrm>
                    <a:prstGeom prst="rect">
                      <a:avLst/>
                    </a:prstGeom>
                  </pic:spPr>
                </pic:pic>
              </a:graphicData>
            </a:graphic>
          </wp:inline>
        </w:drawing>
      </w: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21" name="图片 21" descr="微信图片_2022032715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327150339"/>
                    <pic:cNvPicPr>
                      <a:picLocks noChangeAspect="1"/>
                    </pic:cNvPicPr>
                  </pic:nvPicPr>
                  <pic:blipFill>
                    <a:blip r:embed="rId20"/>
                    <a:stretch>
                      <a:fillRect/>
                    </a:stretch>
                  </pic:blipFill>
                  <pic:spPr>
                    <a:xfrm>
                      <a:off x="0" y="0"/>
                      <a:ext cx="3507105" cy="7825105"/>
                    </a:xfrm>
                    <a:prstGeom prst="rect">
                      <a:avLst/>
                    </a:prstGeom>
                  </pic:spPr>
                </pic:pic>
              </a:graphicData>
            </a:graphic>
          </wp:inline>
        </w:drawing>
      </w: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20" name="图片 20" descr="微信图片_2022032715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327150346"/>
                    <pic:cNvPicPr>
                      <a:picLocks noChangeAspect="1"/>
                    </pic:cNvPicPr>
                  </pic:nvPicPr>
                  <pic:blipFill>
                    <a:blip r:embed="rId21"/>
                    <a:stretch>
                      <a:fillRect/>
                    </a:stretch>
                  </pic:blipFill>
                  <pic:spPr>
                    <a:xfrm>
                      <a:off x="0" y="0"/>
                      <a:ext cx="3507105" cy="7825105"/>
                    </a:xfrm>
                    <a:prstGeom prst="rect">
                      <a:avLst/>
                    </a:prstGeom>
                  </pic:spPr>
                </pic:pic>
              </a:graphicData>
            </a:graphic>
          </wp:inline>
        </w:drawing>
      </w: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19" name="图片 19" descr="微信图片_2022032715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327150351"/>
                    <pic:cNvPicPr>
                      <a:picLocks noChangeAspect="1"/>
                    </pic:cNvPicPr>
                  </pic:nvPicPr>
                  <pic:blipFill>
                    <a:blip r:embed="rId22"/>
                    <a:stretch>
                      <a:fillRect/>
                    </a:stretch>
                  </pic:blipFill>
                  <pic:spPr>
                    <a:xfrm>
                      <a:off x="0" y="0"/>
                      <a:ext cx="3507105" cy="7825105"/>
                    </a:xfrm>
                    <a:prstGeom prst="rect">
                      <a:avLst/>
                    </a:prstGeom>
                  </pic:spPr>
                </pic:pic>
              </a:graphicData>
            </a:graphic>
          </wp:inline>
        </w:drawing>
      </w: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18" name="图片 18" descr="微信图片_2022032715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0327150355"/>
                    <pic:cNvPicPr>
                      <a:picLocks noChangeAspect="1"/>
                    </pic:cNvPicPr>
                  </pic:nvPicPr>
                  <pic:blipFill>
                    <a:blip r:embed="rId23"/>
                    <a:stretch>
                      <a:fillRect/>
                    </a:stretch>
                  </pic:blipFill>
                  <pic:spPr>
                    <a:xfrm>
                      <a:off x="0" y="0"/>
                      <a:ext cx="3507105" cy="7825105"/>
                    </a:xfrm>
                    <a:prstGeom prst="rect">
                      <a:avLst/>
                    </a:prstGeom>
                  </pic:spPr>
                </pic:pic>
              </a:graphicData>
            </a:graphic>
          </wp:inline>
        </w:drawing>
      </w: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17" name="图片 17" descr="微信图片_2022032715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0327150400"/>
                    <pic:cNvPicPr>
                      <a:picLocks noChangeAspect="1"/>
                    </pic:cNvPicPr>
                  </pic:nvPicPr>
                  <pic:blipFill>
                    <a:blip r:embed="rId24"/>
                    <a:stretch>
                      <a:fillRect/>
                    </a:stretch>
                  </pic:blipFill>
                  <pic:spPr>
                    <a:xfrm>
                      <a:off x="0" y="0"/>
                      <a:ext cx="3507105" cy="7825105"/>
                    </a:xfrm>
                    <a:prstGeom prst="rect">
                      <a:avLst/>
                    </a:prstGeom>
                  </pic:spPr>
                </pic:pic>
              </a:graphicData>
            </a:graphic>
          </wp:inline>
        </w:drawing>
      </w: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16" name="图片 16" descr="微信图片_2022032715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327150406"/>
                    <pic:cNvPicPr>
                      <a:picLocks noChangeAspect="1"/>
                    </pic:cNvPicPr>
                  </pic:nvPicPr>
                  <pic:blipFill>
                    <a:blip r:embed="rId25"/>
                    <a:stretch>
                      <a:fillRect/>
                    </a:stretch>
                  </pic:blipFill>
                  <pic:spPr>
                    <a:xfrm>
                      <a:off x="0" y="0"/>
                      <a:ext cx="3507105" cy="7825105"/>
                    </a:xfrm>
                    <a:prstGeom prst="rect">
                      <a:avLst/>
                    </a:prstGeom>
                  </pic:spPr>
                </pic:pic>
              </a:graphicData>
            </a:graphic>
          </wp:inline>
        </w:drawing>
      </w: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15" name="图片 15" descr="微信图片_2022032715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327150411"/>
                    <pic:cNvPicPr>
                      <a:picLocks noChangeAspect="1"/>
                    </pic:cNvPicPr>
                  </pic:nvPicPr>
                  <pic:blipFill>
                    <a:blip r:embed="rId26"/>
                    <a:stretch>
                      <a:fillRect/>
                    </a:stretch>
                  </pic:blipFill>
                  <pic:spPr>
                    <a:xfrm>
                      <a:off x="0" y="0"/>
                      <a:ext cx="3507105" cy="7825105"/>
                    </a:xfrm>
                    <a:prstGeom prst="rect">
                      <a:avLst/>
                    </a:prstGeom>
                  </pic:spPr>
                </pic:pic>
              </a:graphicData>
            </a:graphic>
          </wp:inline>
        </w:drawing>
      </w:r>
      <w:r>
        <w:rPr>
          <w:rFonts w:hint="eastAsia" w:ascii="Helvetica" w:hAnsi="Helvetica" w:eastAsia="宋体" w:cs="Helvetica"/>
          <w:color w:val="FF0000"/>
          <w:spacing w:val="24"/>
          <w:sz w:val="19"/>
          <w:szCs w:val="19"/>
          <w:bdr w:val="none" w:color="auto" w:sz="0" w:space="0"/>
          <w:lang w:eastAsia="zh-CN"/>
        </w:rPr>
        <w:drawing>
          <wp:inline distT="0" distB="0" distL="114300" distR="114300">
            <wp:extent cx="3507105" cy="7825105"/>
            <wp:effectExtent l="0" t="0" r="13335" b="8255"/>
            <wp:docPr id="14" name="图片 14" descr="微信图片_2022032715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327150416"/>
                    <pic:cNvPicPr>
                      <a:picLocks noChangeAspect="1"/>
                    </pic:cNvPicPr>
                  </pic:nvPicPr>
                  <pic:blipFill>
                    <a:blip r:embed="rId27"/>
                    <a:stretch>
                      <a:fillRect/>
                    </a:stretch>
                  </pic:blipFill>
                  <pic:spPr>
                    <a:xfrm>
                      <a:off x="0" y="0"/>
                      <a:ext cx="3507105" cy="7825105"/>
                    </a:xfrm>
                    <a:prstGeom prst="rect">
                      <a:avLst/>
                    </a:prstGeom>
                  </pic:spPr>
                </pic:pic>
              </a:graphicData>
            </a:graphic>
          </wp:inline>
        </w:drawing>
      </w:r>
      <w:bookmarkStart w:id="0" w:name="_GoBack"/>
      <w:r>
        <w:rPr>
          <w:rFonts w:hint="eastAsia" w:ascii="Helvetica" w:hAnsi="Helvetica" w:eastAsia="宋体" w:cs="Helvetica"/>
          <w:color w:val="FF0000"/>
          <w:spacing w:val="24"/>
          <w:sz w:val="19"/>
          <w:szCs w:val="19"/>
          <w:lang w:eastAsia="zh-CN"/>
        </w:rPr>
        <w:drawing>
          <wp:inline distT="0" distB="0" distL="114300" distR="114300">
            <wp:extent cx="3507105" cy="7825105"/>
            <wp:effectExtent l="0" t="0" r="13335" b="8255"/>
            <wp:docPr id="13" name="图片 13" descr="微信图片_2022032715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327150421"/>
                    <pic:cNvPicPr>
                      <a:picLocks noChangeAspect="1"/>
                    </pic:cNvPicPr>
                  </pic:nvPicPr>
                  <pic:blipFill>
                    <a:blip r:embed="rId28"/>
                    <a:stretch>
                      <a:fillRect/>
                    </a:stretch>
                  </pic:blipFill>
                  <pic:spPr>
                    <a:xfrm>
                      <a:off x="0" y="0"/>
                      <a:ext cx="3507105" cy="7825105"/>
                    </a:xfrm>
                    <a:prstGeom prst="rect">
                      <a:avLst/>
                    </a:prstGeom>
                  </pic:spPr>
                </pic:pic>
              </a:graphicData>
            </a:graphic>
          </wp:inline>
        </w:drawing>
      </w:r>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eastAsiaTheme="minorEastAsia"/>
        <w:lang w:val="en-US" w:eastAsia="zh-CN"/>
      </w:rPr>
    </w:pPr>
    <w:r>
      <w:rPr>
        <w:rFonts w:hint="eastAsia" w:ascii="微软雅黑" w:hAnsi="微软雅黑" w:eastAsia="微软雅黑" w:cs="微软雅黑"/>
        <w:color w:val="FF0000"/>
        <w:lang w:val="en-US" w:eastAsia="zh-CN"/>
      </w:rPr>
      <w:t>中企政策网  国家高新技术企业认定  科技型中小企业评价入库    专精特新   小巨人   软件企业评估 24小时直线电话：13480774558                                      QQ / V信</w:t>
    </w:r>
    <w:r>
      <w:rPr>
        <w:rFonts w:hint="eastAsia"/>
        <w:lang w:val="en-US" w:eastAsia="zh-CN"/>
      </w:rPr>
      <w:t xml:space="preserve">  ：</w:t>
    </w:r>
    <w:r>
      <w:rPr>
        <w:rFonts w:hint="eastAsia" w:ascii="微软雅黑" w:hAnsi="微软雅黑" w:eastAsia="微软雅黑" w:cs="微软雅黑"/>
        <w:color w:val="FF0000"/>
        <w:lang w:val="en-US" w:eastAsia="zh-CN"/>
      </w:rPr>
      <w:t xml:space="preserve">906808848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default" w:eastAsiaTheme="minorEastAsia"/>
        <w:lang w:val="en-US" w:eastAsia="zh-CN"/>
      </w:rPr>
    </w:pPr>
    <w:r>
      <w:rPr>
        <w:rFonts w:hint="eastAsia" w:ascii="微软雅黑" w:hAnsi="微软雅黑" w:eastAsia="微软雅黑" w:cs="微软雅黑"/>
        <w:color w:val="FF0000"/>
        <w:sz w:val="32"/>
        <w:szCs w:val="32"/>
        <w:lang w:val="en-US" w:eastAsia="zh-CN"/>
      </w:rPr>
      <w:t xml:space="preserve"> 中企政策网    扫码了解   更多撑企政策</w:t>
    </w:r>
    <w:r>
      <w:rPr>
        <w:rFonts w:hint="eastAsia" w:ascii="微软雅黑" w:hAnsi="微软雅黑" w:eastAsia="微软雅黑" w:cs="微软雅黑"/>
        <w:color w:val="FF0000"/>
        <w:lang w:val="en-US" w:eastAsia="zh-CN"/>
      </w:rPr>
      <w:t xml:space="preserve"> 4000755412</w:t>
    </w:r>
    <w:r>
      <w:rPr>
        <w:rFonts w:hint="eastAsia"/>
        <w:lang w:val="en-US" w:eastAsia="zh-CN"/>
      </w:rPr>
      <w:t xml:space="preserve">                                                                           </w:t>
    </w:r>
    <w:r>
      <w:rPr>
        <w:rFonts w:hint="default" w:eastAsiaTheme="minorEastAsia"/>
        <w:lang w:val="en-US" w:eastAsia="zh-CN"/>
      </w:rPr>
      <w:drawing>
        <wp:inline distT="0" distB="0" distL="114300" distR="114300">
          <wp:extent cx="908050" cy="915035"/>
          <wp:effectExtent l="0" t="0" r="6350" b="14605"/>
          <wp:docPr id="12" name="图片 12" descr="971ef82e45993a3ab1c0f15d138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71ef82e45993a3ab1c0f15d1382180"/>
                  <pic:cNvPicPr>
                    <a:picLocks noChangeAspect="1"/>
                  </pic:cNvPicPr>
                </pic:nvPicPr>
                <pic:blipFill>
                  <a:blip r:embed="rId1"/>
                  <a:stretch>
                    <a:fillRect/>
                  </a:stretch>
                </pic:blipFill>
                <pic:spPr>
                  <a:xfrm>
                    <a:off x="0" y="0"/>
                    <a:ext cx="908050" cy="9150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05361C"/>
    <w:rsid w:val="04E478A0"/>
    <w:rsid w:val="177F5AC8"/>
    <w:rsid w:val="23152DEF"/>
    <w:rsid w:val="291B3B1B"/>
    <w:rsid w:val="4F877205"/>
    <w:rsid w:val="7A53097E"/>
    <w:rsid w:val="7F0536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6100</Words>
  <Characters>6861</Characters>
  <Lines>0</Lines>
  <Paragraphs>0</Paragraphs>
  <TotalTime>1</TotalTime>
  <ScaleCrop>false</ScaleCrop>
  <LinksUpToDate>false</LinksUpToDate>
  <CharactersWithSpaces>6863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2022-03-27T06:16:00Z</dcterms:created>
  <dc:creator>A001陈飞知识产权+高新+审计+资助</dc:creator>
  <cp:lastModifiedBy>A001陈飞知识产权+高新+审计+资助</cp:lastModifiedBy>
  <dcterms:modified xsi:type="dcterms:W3CDTF">2022-03-27T07:06:43Z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24BFFF0CDF534C2EBBBFC251C7712909</vt:lpwstr>
  </property>
</Properties>
</file>